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009CB6C6" w:rsidR="00F72F4F" w:rsidRDefault="00510297" w:rsidP="00F72F4F">
      <w:pPr>
        <w:pStyle w:val="CH"/>
      </w:pPr>
      <w:bookmarkStart w:id="0" w:name="historyclause"/>
      <w:r w:rsidRPr="006073EA">
        <w:t>3GPP RAN WG</w:t>
      </w:r>
      <w:r>
        <w:t>4</w:t>
      </w:r>
      <w:r w:rsidRPr="006073EA">
        <w:t xml:space="preserve"> Meeting #</w:t>
      </w:r>
      <w:r>
        <w:t>1</w:t>
      </w:r>
      <w:r w:rsidR="00CC3FFD">
        <w:t>1</w:t>
      </w:r>
      <w:r w:rsidR="0061051A">
        <w:t>3</w:t>
      </w:r>
      <w:r w:rsidR="00F72F4F">
        <w:tab/>
      </w:r>
      <w:r w:rsidR="00F72F4F">
        <w:tab/>
      </w:r>
      <w:r w:rsidR="00B65370" w:rsidRPr="00B65370">
        <w:t>R4-2417769</w:t>
      </w:r>
    </w:p>
    <w:p w14:paraId="4A8CACC6" w14:textId="42D0B13F" w:rsidR="00F72F4F" w:rsidRPr="00FD166F" w:rsidRDefault="0061051A" w:rsidP="00F72F4F">
      <w:pPr>
        <w:pStyle w:val="CH"/>
        <w:tabs>
          <w:tab w:val="clear" w:pos="7920"/>
        </w:tabs>
        <w:rPr>
          <w:b w:val="0"/>
        </w:rPr>
      </w:pPr>
      <w:r>
        <w:t>Orlando</w:t>
      </w:r>
      <w:r w:rsidR="00BE4397">
        <w:t xml:space="preserve">, </w:t>
      </w:r>
      <w:r>
        <w:t>USA</w:t>
      </w:r>
      <w:r w:rsidR="00BE4397">
        <w:t xml:space="preserve">, </w:t>
      </w:r>
      <w:r>
        <w:t>November</w:t>
      </w:r>
      <w:r w:rsidR="00BE4397" w:rsidRPr="00A14D3F">
        <w:t xml:space="preserve"> </w:t>
      </w:r>
      <w:r w:rsidR="00BE4397">
        <w:t>1</w:t>
      </w:r>
      <w:r>
        <w:t>8</w:t>
      </w:r>
      <w:r w:rsidR="00BE4397">
        <w:rPr>
          <w:vertAlign w:val="superscript"/>
        </w:rPr>
        <w:t>th</w:t>
      </w:r>
      <w:r w:rsidR="00BE4397" w:rsidRPr="00A14D3F">
        <w:t xml:space="preserve"> – </w:t>
      </w:r>
      <w:r>
        <w:t>22</w:t>
      </w:r>
      <w:r>
        <w:rPr>
          <w:vertAlign w:val="superscript"/>
        </w:rPr>
        <w:t>nd</w:t>
      </w:r>
      <w:r w:rsidR="00BE4397" w:rsidRPr="00A14D3F">
        <w:t>, 202</w:t>
      </w:r>
      <w:r w:rsidR="00BE4397">
        <w:t>4</w:t>
      </w:r>
    </w:p>
    <w:p w14:paraId="39A0EE25" w14:textId="77777777" w:rsidR="00D309CC" w:rsidRDefault="00D309CC" w:rsidP="00D309CC">
      <w:pPr>
        <w:tabs>
          <w:tab w:val="left" w:pos="2160"/>
        </w:tabs>
        <w:rPr>
          <w:rFonts w:ascii="Arial" w:hAnsi="Arial" w:cs="Arial"/>
          <w:b/>
        </w:rPr>
      </w:pPr>
    </w:p>
    <w:p w14:paraId="6DDCE159" w14:textId="2C170C45" w:rsidR="00D309CC" w:rsidRPr="0008103A" w:rsidRDefault="00D309CC" w:rsidP="00D309CC">
      <w:pPr>
        <w:pStyle w:val="CH"/>
        <w:rPr>
          <w:b w:val="0"/>
        </w:rPr>
      </w:pPr>
      <w:r w:rsidRPr="0008103A">
        <w:t>Agenda item:</w:t>
      </w:r>
      <w:r>
        <w:tab/>
      </w:r>
      <w:r w:rsidR="0061051A">
        <w:t>10</w:t>
      </w:r>
    </w:p>
    <w:p w14:paraId="4DBE005A" w14:textId="6B472A21" w:rsidR="00D309CC" w:rsidRPr="0008103A" w:rsidRDefault="00D309CC" w:rsidP="00D309CC">
      <w:pPr>
        <w:pStyle w:val="CH"/>
        <w:rPr>
          <w:b w:val="0"/>
        </w:rPr>
      </w:pPr>
      <w:r>
        <w:t>Source:</w:t>
      </w:r>
      <w:r>
        <w:tab/>
        <w:t>Apple</w:t>
      </w:r>
      <w:r w:rsidR="00304F1F">
        <w:t>, TELUS</w:t>
      </w:r>
    </w:p>
    <w:p w14:paraId="0D2061A1" w14:textId="5E1A2B38" w:rsidR="00D309CC" w:rsidRDefault="00D309CC" w:rsidP="00D6592A">
      <w:pPr>
        <w:pStyle w:val="CH"/>
        <w:ind w:left="2275" w:hanging="2275"/>
      </w:pPr>
      <w:r w:rsidRPr="0008103A">
        <w:t>Title:</w:t>
      </w:r>
      <w:r w:rsidRPr="0008103A">
        <w:tab/>
      </w:r>
      <w:r w:rsidR="00FD2037" w:rsidRPr="00FD2037">
        <w:t xml:space="preserve">Motivation </w:t>
      </w:r>
      <w:r w:rsidR="00E841B4">
        <w:t>and Rel-19 proposal on</w:t>
      </w:r>
      <w:r w:rsidR="00FD2037" w:rsidRPr="00FD2037">
        <w:t xml:space="preserve"> UL Tx switching for FR1 intra-band </w:t>
      </w:r>
      <w:r w:rsidR="00E841B4">
        <w:t>NC</w:t>
      </w:r>
      <w:r w:rsidR="00FD2037" w:rsidRPr="00FD2037">
        <w:t xml:space="preserve"> UL CA in Rel-19</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267ADA1"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 xml:space="preserve">intra-band non-contiguous UL CA where UE is </w:t>
      </w:r>
      <w:r w:rsidR="003F6926">
        <w:rPr>
          <w:rFonts w:ascii="Arial" w:hAnsi="Arial" w:cs="Arial"/>
          <w:sz w:val="20"/>
          <w:szCs w:val="20"/>
        </w:rPr>
        <w:t xml:space="preserve">typically </w:t>
      </w:r>
      <w:r w:rsidRPr="001577A2">
        <w:rPr>
          <w:rFonts w:ascii="Arial" w:hAnsi="Arial" w:cs="Arial"/>
          <w:sz w:val="20"/>
          <w:szCs w:val="20"/>
        </w:rPr>
        <w:t>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intra-band non-contiguous UL CA</w:t>
      </w:r>
      <w:r>
        <w:rPr>
          <w:rFonts w:ascii="Arial" w:hAnsi="Arial" w:cs="Arial"/>
          <w:sz w:val="20"/>
          <w:szCs w:val="20"/>
        </w:rPr>
        <w:t xml:space="preserve"> as part of the Rel-19 RAN4 </w:t>
      </w:r>
      <w:r w:rsidR="00765D3E">
        <w:rPr>
          <w:rFonts w:ascii="Arial" w:hAnsi="Arial" w:cs="Arial"/>
          <w:sz w:val="20"/>
          <w:szCs w:val="20"/>
        </w:rPr>
        <w:t>objectives</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4CCEB5F5"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intra-band non-contiguous UL CA allows UE to dynamically switch between the two non-contiguous UL carriers without the RRC reconfiguration process. The switching can be based on the channel conditions of the two carriers where one carrier may have better propagation condition than the other due to frequency selective fading.</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56E9328"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B04BE8"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22DDE6E6" w14:textId="77777777" w:rsidR="0064068B" w:rsidRDefault="0064068B" w:rsidP="0040649B">
      <w:pPr>
        <w:jc w:val="both"/>
        <w:rPr>
          <w:rFonts w:ascii="Arial" w:hAnsi="Arial" w:cs="Arial"/>
          <w:sz w:val="20"/>
          <w:szCs w:val="20"/>
        </w:rPr>
      </w:pPr>
    </w:p>
    <w:p w14:paraId="762E9322" w14:textId="321B2D05"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non-contiguous UL CA transmission due to clustered out-of-band emissions caused by 2UL inter-modulation</w:t>
      </w:r>
      <w:r>
        <w:rPr>
          <w:rFonts w:ascii="Arial" w:hAnsi="Arial" w:cs="Arial"/>
          <w:sz w:val="20"/>
          <w:szCs w:val="20"/>
        </w:rPr>
        <w:t>s</w:t>
      </w:r>
      <w:r w:rsidR="000F753B">
        <w:rPr>
          <w:rFonts w:ascii="Arial" w:hAnsi="Arial" w:cs="Arial"/>
          <w:sz w:val="20"/>
          <w:szCs w:val="20"/>
        </w:rPr>
        <w:t xml:space="preserve"> </w:t>
      </w:r>
      <w:r w:rsidR="000D6E9B">
        <w:rPr>
          <w:rFonts w:ascii="Arial" w:hAnsi="Arial" w:cs="Arial"/>
          <w:sz w:val="20"/>
          <w:szCs w:val="20"/>
        </w:rPr>
        <w:t xml:space="preserve">(IMD) </w:t>
      </w:r>
      <w:r w:rsidR="000F753B">
        <w:rPr>
          <w:rFonts w:ascii="Arial" w:hAnsi="Arial" w:cs="Arial"/>
          <w:sz w:val="20"/>
          <w:szCs w:val="20"/>
        </w:rPr>
        <w:t>as conceptually illustrated in Figure 2.1-1</w:t>
      </w:r>
      <w:r>
        <w:rPr>
          <w:rFonts w:ascii="Arial" w:hAnsi="Arial" w:cs="Arial"/>
          <w:sz w:val="20"/>
          <w:szCs w:val="20"/>
        </w:rPr>
        <w:t>.</w:t>
      </w:r>
      <w:r w:rsidR="00AF2155">
        <w:rPr>
          <w:rFonts w:ascii="Arial" w:hAnsi="Arial" w:cs="Arial"/>
          <w:sz w:val="20"/>
          <w:szCs w:val="20"/>
        </w:rPr>
        <w:t xml:space="preserve"> </w:t>
      </w:r>
      <w:r>
        <w:rPr>
          <w:rFonts w:ascii="Arial" w:hAnsi="Arial" w:cs="Arial"/>
          <w:sz w:val="20"/>
          <w:szCs w:val="20"/>
        </w:rPr>
        <w:t>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7E690A9B" w14:textId="6A555DEA" w:rsidR="000F753B" w:rsidRDefault="000F753B" w:rsidP="000F753B">
      <w:pPr>
        <w:jc w:val="center"/>
        <w:rPr>
          <w:rFonts w:ascii="Arial" w:hAnsi="Arial" w:cs="Arial"/>
          <w:sz w:val="20"/>
          <w:szCs w:val="20"/>
        </w:rPr>
      </w:pPr>
      <w:r>
        <w:rPr>
          <w:rFonts w:ascii="Arial" w:hAnsi="Arial" w:cs="Arial"/>
          <w:noProof/>
          <w:sz w:val="20"/>
          <w:szCs w:val="20"/>
        </w:rPr>
        <w:drawing>
          <wp:inline distT="0" distB="0" distL="0" distR="0" wp14:anchorId="6800DA48" wp14:editId="6F5B603F">
            <wp:extent cx="3063025" cy="1725791"/>
            <wp:effectExtent l="0" t="0" r="0" b="1905"/>
            <wp:docPr id="28394296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42969" name="Picture 1" descr="A diagram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04151" cy="1748963"/>
                    </a:xfrm>
                    <a:prstGeom prst="rect">
                      <a:avLst/>
                    </a:prstGeom>
                  </pic:spPr>
                </pic:pic>
              </a:graphicData>
            </a:graphic>
          </wp:inline>
        </w:drawing>
      </w:r>
    </w:p>
    <w:p w14:paraId="1A6183AF" w14:textId="77777777" w:rsidR="000F753B" w:rsidRDefault="000F753B" w:rsidP="0040649B">
      <w:pPr>
        <w:jc w:val="both"/>
        <w:rPr>
          <w:rFonts w:ascii="Arial" w:hAnsi="Arial" w:cs="Arial"/>
          <w:sz w:val="20"/>
          <w:szCs w:val="20"/>
        </w:rPr>
      </w:pPr>
    </w:p>
    <w:p w14:paraId="3B5D5D1C" w14:textId="28C20EE0" w:rsidR="000F753B" w:rsidRDefault="00A4171A" w:rsidP="00A4171A">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Potential high MPR for intra-band non-contiguous UL CA due to IMD emissions</w:t>
      </w:r>
    </w:p>
    <w:p w14:paraId="621AE6FF" w14:textId="77777777" w:rsidR="000F753B" w:rsidRDefault="000F753B" w:rsidP="0040649B">
      <w:pPr>
        <w:jc w:val="both"/>
        <w:rPr>
          <w:rFonts w:ascii="Arial" w:hAnsi="Arial" w:cs="Arial"/>
          <w:sz w:val="20"/>
          <w:szCs w:val="20"/>
        </w:rPr>
      </w:pPr>
    </w:p>
    <w:p w14:paraId="49FB5325" w14:textId="6716274D"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6B49E479" w14:textId="0BB3900C" w:rsidR="00AF2155" w:rsidRDefault="00AF2155" w:rsidP="006015D4">
      <w:pPr>
        <w:spacing w:after="120"/>
        <w:jc w:val="both"/>
        <w:rPr>
          <w:rFonts w:ascii="Arial" w:hAnsi="Arial" w:cs="Arial"/>
          <w:sz w:val="20"/>
          <w:szCs w:val="20"/>
        </w:rPr>
      </w:pPr>
      <w:r>
        <w:rPr>
          <w:rFonts w:ascii="Arial" w:hAnsi="Arial" w:cs="Arial"/>
          <w:sz w:val="20"/>
          <w:szCs w:val="20"/>
        </w:rPr>
        <w:t xml:space="preserve">Table 2.1-1 summarizes the PC3 and PC2 MPR requirements for intra-band non-contiguous UL CA </w:t>
      </w:r>
      <w:r w:rsidR="006015D4">
        <w:rPr>
          <w:rFonts w:ascii="Arial" w:hAnsi="Arial" w:cs="Arial"/>
          <w:sz w:val="20"/>
          <w:szCs w:val="20"/>
        </w:rPr>
        <w:t xml:space="preserve">based on dualPA implementation </w:t>
      </w:r>
      <w:r>
        <w:rPr>
          <w:rFonts w:ascii="Arial" w:hAnsi="Arial" w:cs="Arial"/>
          <w:sz w:val="20"/>
          <w:szCs w:val="20"/>
        </w:rPr>
        <w:t>to fulfill the general spurious emission requirement at -30 dBm/MHz. It can be seen that the required MPR is at least 9 dB which implies UL coverage range would be severely impacted.</w:t>
      </w:r>
    </w:p>
    <w:p w14:paraId="41E1CB17" w14:textId="77777777" w:rsidR="00AF2155" w:rsidRDefault="00AF2155" w:rsidP="0073307B">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gridCol w:w="1728"/>
        <w:gridCol w:w="1152"/>
      </w:tblGrid>
      <w:tr w:rsidR="006015D4" w:rsidRPr="006015D4" w14:paraId="61F4046B" w14:textId="77777777" w:rsidTr="00EB5960">
        <w:trPr>
          <w:trHeight w:val="288"/>
          <w:jc w:val="center"/>
        </w:trPr>
        <w:tc>
          <w:tcPr>
            <w:tcW w:w="2880" w:type="dxa"/>
            <w:gridSpan w:val="2"/>
            <w:vAlign w:val="center"/>
          </w:tcPr>
          <w:p w14:paraId="7D2E65FF" w14:textId="0DB1DDB6" w:rsidR="006015D4" w:rsidRPr="006015D4" w:rsidRDefault="006015D4" w:rsidP="006015D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7AB32CDC" w14:textId="068DB332" w:rsidR="006015D4" w:rsidRPr="006015D4" w:rsidRDefault="006015D4" w:rsidP="006015D4">
            <w:pPr>
              <w:jc w:val="center"/>
              <w:rPr>
                <w:rFonts w:ascii="Arial" w:hAnsi="Arial" w:cs="Arial"/>
                <w:sz w:val="18"/>
                <w:szCs w:val="18"/>
              </w:rPr>
            </w:pPr>
            <w:r>
              <w:rPr>
                <w:rFonts w:ascii="Arial" w:hAnsi="Arial" w:cs="Arial"/>
                <w:sz w:val="18"/>
                <w:szCs w:val="18"/>
              </w:rPr>
              <w:t>PC2</w:t>
            </w:r>
          </w:p>
        </w:tc>
        <w:tc>
          <w:tcPr>
            <w:tcW w:w="2880" w:type="dxa"/>
            <w:gridSpan w:val="2"/>
            <w:vAlign w:val="center"/>
          </w:tcPr>
          <w:p w14:paraId="3C31EA3D" w14:textId="6CA9EA9F" w:rsidR="006015D4" w:rsidRPr="006015D4" w:rsidRDefault="006015D4" w:rsidP="006015D4">
            <w:pPr>
              <w:jc w:val="center"/>
              <w:rPr>
                <w:rFonts w:ascii="Arial" w:hAnsi="Arial" w:cs="Arial"/>
                <w:sz w:val="18"/>
                <w:szCs w:val="18"/>
              </w:rPr>
            </w:pPr>
            <w:r>
              <w:rPr>
                <w:rFonts w:ascii="Arial" w:hAnsi="Arial" w:cs="Arial"/>
                <w:sz w:val="18"/>
                <w:szCs w:val="18"/>
              </w:rPr>
              <w:t>PC1.5</w:t>
            </w:r>
          </w:p>
        </w:tc>
      </w:tr>
      <w:tr w:rsidR="006015D4" w:rsidRPr="006015D4" w14:paraId="7B9107DE" w14:textId="77777777" w:rsidTr="006015D4">
        <w:trPr>
          <w:trHeight w:val="288"/>
          <w:jc w:val="center"/>
        </w:trPr>
        <w:tc>
          <w:tcPr>
            <w:tcW w:w="1728" w:type="dxa"/>
            <w:vAlign w:val="center"/>
          </w:tcPr>
          <w:p w14:paraId="695A6A0A" w14:textId="48EDEAC9"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CA2F46C" w14:textId="3AB5B8AC"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287B791" w14:textId="1B5956B7"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B99F178" w14:textId="4D606200"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6BD1607B" w14:textId="093CCD84"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5A6F515B" w14:textId="7CA4F759"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2774E4" w:rsidRPr="006015D4" w14:paraId="574C0E53" w14:textId="77777777" w:rsidTr="006015D4">
        <w:trPr>
          <w:trHeight w:val="288"/>
          <w:jc w:val="center"/>
        </w:trPr>
        <w:tc>
          <w:tcPr>
            <w:tcW w:w="1728" w:type="dxa"/>
            <w:vAlign w:val="center"/>
          </w:tcPr>
          <w:p w14:paraId="05E7BA80" w14:textId="56EEE63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5EA74E0" w14:textId="26034B9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2E928DF1" w14:textId="6B2BB7C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475C24DA" w14:textId="0737652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15.5</w:t>
            </w:r>
          </w:p>
        </w:tc>
        <w:tc>
          <w:tcPr>
            <w:tcW w:w="1728" w:type="dxa"/>
            <w:vAlign w:val="center"/>
          </w:tcPr>
          <w:p w14:paraId="34FE91EB" w14:textId="1FE0FE56"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530AC3B" w14:textId="1589FD3D"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5DE84E8" w14:textId="77777777" w:rsidTr="006015D4">
        <w:trPr>
          <w:trHeight w:val="288"/>
          <w:jc w:val="center"/>
        </w:trPr>
        <w:tc>
          <w:tcPr>
            <w:tcW w:w="1728" w:type="dxa"/>
            <w:vAlign w:val="center"/>
          </w:tcPr>
          <w:p w14:paraId="1BCE7D84" w14:textId="67769CE4"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5BB1F1FD" w14:textId="4C6DBEE7"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549D6A39" w14:textId="732F703D"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3600FB74" w14:textId="7DF1B86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5EBB5673" w14:textId="69C4D86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F0544A" w14:textId="3FAE35E4"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DEEBEFA" w14:textId="77777777" w:rsidTr="006015D4">
        <w:trPr>
          <w:trHeight w:val="288"/>
          <w:jc w:val="center"/>
        </w:trPr>
        <w:tc>
          <w:tcPr>
            <w:tcW w:w="1728" w:type="dxa"/>
            <w:vAlign w:val="center"/>
          </w:tcPr>
          <w:p w14:paraId="049D92F3" w14:textId="2941893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2C1B1F83" w14:textId="523A195C"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2794B703" w14:textId="3D3C95D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0F3DC070" w14:textId="584D697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14.0</w:t>
            </w:r>
          </w:p>
        </w:tc>
        <w:tc>
          <w:tcPr>
            <w:tcW w:w="1728" w:type="dxa"/>
            <w:vAlign w:val="center"/>
          </w:tcPr>
          <w:p w14:paraId="4F0C5411" w14:textId="19564332"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701DFAD" w14:textId="1D5CA71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90550C9" w14:textId="77777777" w:rsidTr="006015D4">
        <w:trPr>
          <w:trHeight w:val="288"/>
          <w:jc w:val="center"/>
        </w:trPr>
        <w:tc>
          <w:tcPr>
            <w:tcW w:w="1728" w:type="dxa"/>
            <w:vAlign w:val="center"/>
          </w:tcPr>
          <w:p w14:paraId="1B21291B" w14:textId="19EBCD7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6232B1B2" w14:textId="06362F6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4DD7DF0B" w14:textId="2CD4E17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D94799E" w14:textId="7DD9574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12.0</w:t>
            </w:r>
          </w:p>
        </w:tc>
        <w:tc>
          <w:tcPr>
            <w:tcW w:w="1728" w:type="dxa"/>
            <w:vAlign w:val="center"/>
          </w:tcPr>
          <w:p w14:paraId="740A8D51" w14:textId="0681D8BF"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DC646B" w14:textId="3E64D94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42FBCF3" w14:textId="77777777" w:rsidTr="006015D4">
        <w:trPr>
          <w:trHeight w:val="288"/>
          <w:jc w:val="center"/>
        </w:trPr>
        <w:tc>
          <w:tcPr>
            <w:tcW w:w="1728" w:type="dxa"/>
            <w:vAlign w:val="center"/>
          </w:tcPr>
          <w:p w14:paraId="6BF908C8" w14:textId="67C5BF8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4BD2D1B9" w14:textId="2851D64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1C483CA" w14:textId="15F65DF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1B00D791" w14:textId="277EB8E6"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0A5AA0D5" w14:textId="3DEF392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1D8C5F9" w14:textId="1D6F6867"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20465058" w14:textId="77777777" w:rsidTr="006015D4">
        <w:trPr>
          <w:trHeight w:val="288"/>
          <w:jc w:val="center"/>
        </w:trPr>
        <w:tc>
          <w:tcPr>
            <w:tcW w:w="1728" w:type="dxa"/>
            <w:vAlign w:val="center"/>
          </w:tcPr>
          <w:p w14:paraId="36706170" w14:textId="6696C7D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1056D125" w14:textId="417CB58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6DA2288B" w14:textId="43881AE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00FA4DDE" w14:textId="577E125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1D89EA62" w14:textId="560500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4EF175F0" w14:textId="18FE5EF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3A2EBE4A" w14:textId="77777777" w:rsidTr="006015D4">
        <w:trPr>
          <w:trHeight w:val="288"/>
          <w:jc w:val="center"/>
        </w:trPr>
        <w:tc>
          <w:tcPr>
            <w:tcW w:w="1728" w:type="dxa"/>
            <w:vAlign w:val="center"/>
          </w:tcPr>
          <w:p w14:paraId="4484FB2A" w14:textId="684DE27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3CA440C4" w14:textId="0EF72125"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04557620" w14:textId="77777777" w:rsidR="002774E4" w:rsidRPr="006015D4" w:rsidRDefault="002774E4" w:rsidP="002774E4">
            <w:pPr>
              <w:jc w:val="center"/>
              <w:rPr>
                <w:rFonts w:ascii="Arial" w:hAnsi="Arial" w:cs="Arial"/>
                <w:sz w:val="18"/>
                <w:szCs w:val="18"/>
              </w:rPr>
            </w:pPr>
          </w:p>
        </w:tc>
        <w:tc>
          <w:tcPr>
            <w:tcW w:w="1152" w:type="dxa"/>
            <w:vAlign w:val="center"/>
          </w:tcPr>
          <w:p w14:paraId="5DA151B6" w14:textId="77777777" w:rsidR="002774E4" w:rsidRPr="006015D4" w:rsidRDefault="002774E4" w:rsidP="002774E4">
            <w:pPr>
              <w:jc w:val="center"/>
              <w:rPr>
                <w:rFonts w:ascii="Arial" w:hAnsi="Arial" w:cs="Arial"/>
                <w:sz w:val="18"/>
                <w:szCs w:val="18"/>
              </w:rPr>
            </w:pPr>
          </w:p>
        </w:tc>
        <w:tc>
          <w:tcPr>
            <w:tcW w:w="1728" w:type="dxa"/>
            <w:vAlign w:val="center"/>
          </w:tcPr>
          <w:p w14:paraId="10C893C7" w14:textId="718E3DA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9D9F8E7" w14:textId="78DF857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77BAE987" w14:textId="77777777" w:rsidTr="006015D4">
        <w:trPr>
          <w:trHeight w:val="288"/>
          <w:jc w:val="center"/>
        </w:trPr>
        <w:tc>
          <w:tcPr>
            <w:tcW w:w="1728" w:type="dxa"/>
            <w:vAlign w:val="center"/>
          </w:tcPr>
          <w:p w14:paraId="2E46E6D7" w14:textId="39BF375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112844B" w14:textId="77BB1FE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6E6A284E" w14:textId="77777777" w:rsidR="002774E4" w:rsidRPr="006015D4" w:rsidRDefault="002774E4" w:rsidP="002774E4">
            <w:pPr>
              <w:jc w:val="center"/>
              <w:rPr>
                <w:rFonts w:ascii="Arial" w:hAnsi="Arial" w:cs="Arial"/>
                <w:sz w:val="18"/>
                <w:szCs w:val="18"/>
              </w:rPr>
            </w:pPr>
          </w:p>
        </w:tc>
        <w:tc>
          <w:tcPr>
            <w:tcW w:w="1152" w:type="dxa"/>
            <w:vAlign w:val="center"/>
          </w:tcPr>
          <w:p w14:paraId="79992A4C" w14:textId="77777777" w:rsidR="002774E4" w:rsidRPr="006015D4" w:rsidRDefault="002774E4" w:rsidP="002774E4">
            <w:pPr>
              <w:jc w:val="center"/>
              <w:rPr>
                <w:rFonts w:ascii="Arial" w:hAnsi="Arial" w:cs="Arial"/>
                <w:sz w:val="18"/>
                <w:szCs w:val="18"/>
              </w:rPr>
            </w:pPr>
          </w:p>
        </w:tc>
        <w:tc>
          <w:tcPr>
            <w:tcW w:w="1728" w:type="dxa"/>
            <w:vAlign w:val="center"/>
          </w:tcPr>
          <w:p w14:paraId="03F8B075" w14:textId="3210B5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6961BF1" w14:textId="461D0A8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51995F73" w14:textId="77777777" w:rsidTr="00160A0D">
        <w:trPr>
          <w:trHeight w:val="288"/>
          <w:jc w:val="center"/>
        </w:trPr>
        <w:tc>
          <w:tcPr>
            <w:tcW w:w="8640" w:type="dxa"/>
            <w:gridSpan w:val="6"/>
            <w:vAlign w:val="center"/>
          </w:tcPr>
          <w:p w14:paraId="63DA87D2" w14:textId="6B77D3D8" w:rsidR="002774E4" w:rsidRPr="006015D4" w:rsidRDefault="002774E4" w:rsidP="002774E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3E55447E" w14:textId="77777777" w:rsidR="00AF2155" w:rsidRDefault="00AF2155" w:rsidP="0073307B">
      <w:pPr>
        <w:jc w:val="both"/>
        <w:rPr>
          <w:rFonts w:ascii="Arial" w:hAnsi="Arial" w:cs="Arial"/>
          <w:sz w:val="20"/>
          <w:szCs w:val="20"/>
        </w:rPr>
      </w:pPr>
    </w:p>
    <w:p w14:paraId="691CF29E" w14:textId="30A59E9F" w:rsidR="002774E4" w:rsidRDefault="002774E4" w:rsidP="002774E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MPR requirements for intra-band NC UL CA with dualPA</w:t>
      </w:r>
    </w:p>
    <w:p w14:paraId="6E33B603" w14:textId="77777777" w:rsidR="00AF2155" w:rsidRDefault="00AF2155" w:rsidP="0073307B">
      <w:pPr>
        <w:jc w:val="both"/>
        <w:rPr>
          <w:rFonts w:ascii="Arial" w:hAnsi="Arial" w:cs="Arial"/>
          <w:sz w:val="20"/>
          <w:szCs w:val="20"/>
        </w:rPr>
      </w:pPr>
    </w:p>
    <w:p w14:paraId="481411AB" w14:textId="6F601419" w:rsidR="008C103C" w:rsidRDefault="00A939FC" w:rsidP="00905B52">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w:t>
      </w:r>
      <w:r w:rsidR="00A4171A">
        <w:rPr>
          <w:rFonts w:ascii="Arial" w:hAnsi="Arial" w:cs="Arial"/>
          <w:sz w:val="20"/>
          <w:szCs w:val="20"/>
        </w:rPr>
        <w:t>, as is shown in Figure 2.1-2</w:t>
      </w:r>
      <w:r>
        <w:rPr>
          <w:rFonts w:ascii="Arial" w:hAnsi="Arial" w:cs="Arial"/>
          <w:sz w:val="20"/>
          <w:szCs w:val="20"/>
        </w:rPr>
        <w:t xml:space="preserve">. </w:t>
      </w:r>
      <w:r w:rsidR="003F6926">
        <w:rPr>
          <w:rFonts w:ascii="Arial" w:hAnsi="Arial" w:cs="Arial"/>
          <w:sz w:val="20"/>
          <w:szCs w:val="20"/>
        </w:rPr>
        <w:t>However</w:t>
      </w:r>
      <w:r>
        <w:rPr>
          <w:rFonts w:ascii="Arial" w:hAnsi="Arial" w:cs="Arial"/>
          <w:sz w:val="20"/>
          <w:szCs w:val="20"/>
        </w:rPr>
        <w:t>, with UL Tx switching, each UL carrier can leverage the two Tx paths to support UL MIMO</w:t>
      </w:r>
      <w:r w:rsidR="00A4171A">
        <w:rPr>
          <w:rFonts w:ascii="Arial" w:hAnsi="Arial" w:cs="Arial"/>
          <w:sz w:val="20"/>
          <w:szCs w:val="20"/>
        </w:rPr>
        <w:t xml:space="preserve"> as conceptually </w:t>
      </w:r>
      <w:r w:rsidR="0013212C">
        <w:rPr>
          <w:rFonts w:ascii="Arial" w:hAnsi="Arial" w:cs="Arial"/>
          <w:sz w:val="20"/>
          <w:szCs w:val="20"/>
        </w:rPr>
        <w:t>illustrated</w:t>
      </w:r>
      <w:r w:rsidR="00A4171A">
        <w:rPr>
          <w:rFonts w:ascii="Arial" w:hAnsi="Arial" w:cs="Arial"/>
          <w:sz w:val="20"/>
          <w:szCs w:val="20"/>
        </w:rPr>
        <w:t xml:space="preserve"> in Figure 2.1-3</w:t>
      </w:r>
      <w:r w:rsidR="00BB2E33">
        <w:rPr>
          <w:rFonts w:ascii="Arial" w:hAnsi="Arial" w:cs="Arial"/>
          <w:sz w:val="20"/>
          <w:szCs w:val="20"/>
        </w:rPr>
        <w:t>, a</w:t>
      </w:r>
      <w:r>
        <w:rPr>
          <w:rFonts w:ascii="Arial" w:hAnsi="Arial" w:cs="Arial"/>
          <w:sz w:val="20"/>
          <w:szCs w:val="20"/>
        </w:rPr>
        <w:t>s a result, the UL throughput performance for UL Tx switching is not compromised as compared to non-switched UL CA.</w:t>
      </w:r>
    </w:p>
    <w:p w14:paraId="360E289A" w14:textId="77777777" w:rsidR="00BB2E33" w:rsidRDefault="00BB2E33" w:rsidP="00BB2E33">
      <w:pPr>
        <w:jc w:val="both"/>
        <w:rPr>
          <w:rFonts w:ascii="Arial" w:hAnsi="Arial" w:cs="Arial"/>
          <w:sz w:val="20"/>
          <w:szCs w:val="20"/>
        </w:rPr>
      </w:pPr>
    </w:p>
    <w:p w14:paraId="34A049AD" w14:textId="67F94B93" w:rsidR="0013212C"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61D535BE" wp14:editId="6D96BA34">
            <wp:extent cx="4203294" cy="1563864"/>
            <wp:effectExtent l="0" t="0" r="635" b="0"/>
            <wp:docPr id="1914349793"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9793" name="Picture 2" descr="A diagram of a block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3960" cy="1575274"/>
                    </a:xfrm>
                    <a:prstGeom prst="rect">
                      <a:avLst/>
                    </a:prstGeom>
                  </pic:spPr>
                </pic:pic>
              </a:graphicData>
            </a:graphic>
          </wp:inline>
        </w:drawing>
      </w:r>
    </w:p>
    <w:p w14:paraId="3FC12980" w14:textId="77777777" w:rsidR="00905B52" w:rsidRDefault="00905B52" w:rsidP="00905B52">
      <w:pPr>
        <w:jc w:val="center"/>
        <w:rPr>
          <w:rFonts w:ascii="Arial" w:hAnsi="Arial" w:cs="Arial"/>
          <w:sz w:val="20"/>
          <w:szCs w:val="20"/>
        </w:rPr>
      </w:pPr>
    </w:p>
    <w:p w14:paraId="7A2839C3" w14:textId="4608CDB7" w:rsidR="00905B52" w:rsidRDefault="00905B52" w:rsidP="00905B52">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sidR="00EF2263">
        <w:rPr>
          <w:rFonts w:ascii="Arial" w:hAnsi="Arial" w:cs="Arial"/>
          <w:b/>
          <w:bCs/>
          <w:sz w:val="20"/>
          <w:szCs w:val="20"/>
        </w:rPr>
        <w:t xml:space="preserve">Only non-MIMO operation can be supported for </w:t>
      </w:r>
      <w:r w:rsidR="00EF2263" w:rsidRPr="00EF2263">
        <w:rPr>
          <w:rFonts w:ascii="Arial" w:hAnsi="Arial" w:cs="Arial"/>
          <w:b/>
          <w:bCs/>
          <w:sz w:val="20"/>
          <w:szCs w:val="20"/>
        </w:rPr>
        <w:t>intra-band non-contiguous UL CA</w:t>
      </w:r>
    </w:p>
    <w:p w14:paraId="6056EFCF" w14:textId="77777777" w:rsidR="00905B52" w:rsidRDefault="00905B52" w:rsidP="00905B52">
      <w:pPr>
        <w:jc w:val="center"/>
        <w:rPr>
          <w:rFonts w:ascii="Arial" w:hAnsi="Arial" w:cs="Arial"/>
          <w:sz w:val="20"/>
          <w:szCs w:val="20"/>
        </w:rPr>
      </w:pPr>
    </w:p>
    <w:p w14:paraId="52977942" w14:textId="2AB270B5"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49A91370" wp14:editId="52E31B2F">
            <wp:extent cx="4302177" cy="1572541"/>
            <wp:effectExtent l="0" t="0" r="3175" b="2540"/>
            <wp:docPr id="628221917" name="Picture 4"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21917" name="Picture 4" descr="A diagram of a block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4834" cy="1591788"/>
                    </a:xfrm>
                    <a:prstGeom prst="rect">
                      <a:avLst/>
                    </a:prstGeom>
                  </pic:spPr>
                </pic:pic>
              </a:graphicData>
            </a:graphic>
          </wp:inline>
        </w:drawing>
      </w:r>
    </w:p>
    <w:p w14:paraId="49D64A08" w14:textId="77777777" w:rsidR="00905B52" w:rsidRDefault="00905B52" w:rsidP="00905B52">
      <w:pPr>
        <w:jc w:val="center"/>
        <w:rPr>
          <w:rFonts w:ascii="Arial" w:hAnsi="Arial" w:cs="Arial"/>
          <w:sz w:val="20"/>
          <w:szCs w:val="20"/>
        </w:rPr>
      </w:pPr>
    </w:p>
    <w:p w14:paraId="6B802971" w14:textId="44F722FE" w:rsidR="00905B52" w:rsidRDefault="00905B52" w:rsidP="00905B52">
      <w:pPr>
        <w:jc w:val="center"/>
        <w:rPr>
          <w:rFonts w:ascii="Arial" w:hAnsi="Arial" w:cs="Arial"/>
          <w:sz w:val="20"/>
          <w:szCs w:val="20"/>
        </w:rPr>
      </w:pPr>
      <w:r>
        <w:rPr>
          <w:rFonts w:ascii="Arial" w:hAnsi="Arial" w:cs="Arial"/>
          <w:noProof/>
          <w:sz w:val="20"/>
          <w:szCs w:val="20"/>
        </w:rPr>
        <w:lastRenderedPageBreak/>
        <w:drawing>
          <wp:inline distT="0" distB="0" distL="0" distR="0" wp14:anchorId="58065366" wp14:editId="5F6C2562">
            <wp:extent cx="4315720" cy="1562272"/>
            <wp:effectExtent l="0" t="0" r="2540" b="0"/>
            <wp:docPr id="1459203043" name="Picture 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03043" name="Picture 5"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6974" cy="1577206"/>
                    </a:xfrm>
                    <a:prstGeom prst="rect">
                      <a:avLst/>
                    </a:prstGeom>
                  </pic:spPr>
                </pic:pic>
              </a:graphicData>
            </a:graphic>
          </wp:inline>
        </w:drawing>
      </w:r>
    </w:p>
    <w:p w14:paraId="28332D3A" w14:textId="77777777" w:rsidR="0013212C" w:rsidRDefault="0013212C" w:rsidP="008C103C">
      <w:pPr>
        <w:jc w:val="both"/>
        <w:rPr>
          <w:rFonts w:ascii="Arial" w:hAnsi="Arial" w:cs="Arial"/>
          <w:sz w:val="20"/>
          <w:szCs w:val="20"/>
        </w:rPr>
      </w:pPr>
    </w:p>
    <w:p w14:paraId="632115CB" w14:textId="4D0309E5" w:rsidR="00EF2263" w:rsidRDefault="00EF2263" w:rsidP="00EF2263">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UL MIMO can be supported with UL Tx switching</w:t>
      </w:r>
    </w:p>
    <w:p w14:paraId="572005C9" w14:textId="77777777" w:rsidR="00EF2263" w:rsidRDefault="00EF2263"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78BF49A2" w14:textId="77777777" w:rsidR="00EF2263" w:rsidRDefault="00EF2263" w:rsidP="00144D61">
      <w:pPr>
        <w:jc w:val="both"/>
        <w:rPr>
          <w:rFonts w:ascii="Arial" w:hAnsi="Arial" w:cs="Arial"/>
          <w:bCs/>
          <w:sz w:val="20"/>
          <w:szCs w:val="20"/>
        </w:rPr>
      </w:pPr>
    </w:p>
    <w:p w14:paraId="7E99E751" w14:textId="27847AF9" w:rsidR="00EF2263" w:rsidRDefault="00EF2263" w:rsidP="00880A01">
      <w:pPr>
        <w:spacing w:after="120"/>
        <w:jc w:val="both"/>
        <w:rPr>
          <w:rFonts w:ascii="Arial" w:hAnsi="Arial" w:cs="Arial"/>
          <w:bCs/>
          <w:sz w:val="20"/>
          <w:szCs w:val="20"/>
        </w:rPr>
      </w:pPr>
      <w:r>
        <w:rPr>
          <w:rFonts w:ascii="Arial" w:hAnsi="Arial" w:cs="Arial"/>
          <w:bCs/>
          <w:sz w:val="20"/>
          <w:szCs w:val="20"/>
        </w:rPr>
        <w:t xml:space="preserve">Another potential benefit for intra-band non-contiguous UL CA with </w:t>
      </w:r>
      <w:r w:rsidR="00880A01">
        <w:rPr>
          <w:rFonts w:ascii="Arial" w:hAnsi="Arial" w:cs="Arial"/>
          <w:bCs/>
          <w:sz w:val="20"/>
          <w:szCs w:val="20"/>
        </w:rPr>
        <w:t xml:space="preserve">UL </w:t>
      </w:r>
      <w:r>
        <w:rPr>
          <w:rFonts w:ascii="Arial" w:hAnsi="Arial" w:cs="Arial"/>
          <w:bCs/>
          <w:sz w:val="20"/>
          <w:szCs w:val="20"/>
        </w:rPr>
        <w:t xml:space="preserve">Tx switching is that </w:t>
      </w:r>
      <w:r w:rsidR="00880A01">
        <w:rPr>
          <w:rFonts w:ascii="Arial" w:hAnsi="Arial" w:cs="Arial"/>
          <w:bCs/>
          <w:sz w:val="20"/>
          <w:szCs w:val="20"/>
        </w:rPr>
        <w:t xml:space="preserve">only </w:t>
      </w:r>
      <w:r>
        <w:rPr>
          <w:rFonts w:ascii="Arial" w:hAnsi="Arial" w:cs="Arial"/>
          <w:bCs/>
          <w:sz w:val="20"/>
          <w:szCs w:val="20"/>
        </w:rPr>
        <w:t xml:space="preserve">one frequency synthesizer (1 LO) </w:t>
      </w:r>
      <w:r w:rsidR="00880A01">
        <w:rPr>
          <w:rFonts w:ascii="Arial" w:hAnsi="Arial" w:cs="Arial"/>
          <w:bCs/>
          <w:sz w:val="20"/>
          <w:szCs w:val="20"/>
        </w:rPr>
        <w:t xml:space="preserve">is required </w:t>
      </w:r>
      <w:r>
        <w:rPr>
          <w:rFonts w:ascii="Arial" w:hAnsi="Arial" w:cs="Arial"/>
          <w:bCs/>
          <w:sz w:val="20"/>
          <w:szCs w:val="20"/>
        </w:rPr>
        <w:t xml:space="preserve">to support the operation while </w:t>
      </w:r>
      <w:r w:rsidR="00880A01">
        <w:rPr>
          <w:rFonts w:ascii="Arial" w:hAnsi="Arial" w:cs="Arial"/>
          <w:bCs/>
          <w:sz w:val="20"/>
          <w:szCs w:val="20"/>
        </w:rPr>
        <w:t xml:space="preserve">for simultaneous transmission, it would require two frequency synthesizers (2 LOs) to support the operation when the frequency span between the two carriers is wider than 200 MHz.  </w:t>
      </w:r>
    </w:p>
    <w:p w14:paraId="0A678FDE" w14:textId="77777777" w:rsidR="00EF2263" w:rsidRDefault="00EF2263" w:rsidP="00144D61">
      <w:pPr>
        <w:jc w:val="both"/>
        <w:rPr>
          <w:rFonts w:ascii="Arial" w:hAnsi="Arial" w:cs="Arial"/>
          <w:bCs/>
          <w:sz w:val="20"/>
          <w:szCs w:val="20"/>
        </w:rPr>
      </w:pPr>
    </w:p>
    <w:p w14:paraId="7AD14BB6" w14:textId="155E1858" w:rsidR="00880A01" w:rsidRDefault="00880A01" w:rsidP="00880A01">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5D307C23" w14:textId="4E7BB4BB" w:rsidR="007C5CD8" w:rsidRDefault="00EF226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4233130B" w:rsidR="00144D61" w:rsidRPr="0093313C" w:rsidRDefault="00144D61" w:rsidP="00144D61">
      <w:pPr>
        <w:pStyle w:val="Heading2"/>
        <w:spacing w:after="120"/>
        <w:ind w:left="1138" w:hanging="1138"/>
      </w:pPr>
      <w:r>
        <w:t>2.</w:t>
      </w:r>
      <w:r w:rsidR="00A939FC">
        <w:t>2</w:t>
      </w:r>
      <w:r>
        <w:tab/>
        <w:t xml:space="preserve">Rel-19 </w:t>
      </w:r>
      <w:r w:rsidR="00811DA5">
        <w:t xml:space="preserve">RAN4 </w:t>
      </w:r>
      <w:r>
        <w:t xml:space="preserve">objectives for </w:t>
      </w:r>
      <w:r w:rsidR="00A939FC">
        <w:t>Intra-CA UL Tx switching</w:t>
      </w:r>
    </w:p>
    <w:p w14:paraId="7EADC4AC" w14:textId="61FAA9EA" w:rsidR="00DF33DB" w:rsidRDefault="00DF33DB" w:rsidP="000C59CD">
      <w:pPr>
        <w:rPr>
          <w:rFonts w:ascii="Arial" w:hAnsi="Arial" w:cs="Arial"/>
          <w:sz w:val="20"/>
          <w:szCs w:val="20"/>
        </w:rPr>
      </w:pPr>
    </w:p>
    <w:p w14:paraId="345BFBF2" w14:textId="27AD4B8C" w:rsidR="00811DA5" w:rsidRDefault="00304F1F" w:rsidP="00304F1F">
      <w:pPr>
        <w:jc w:val="both"/>
        <w:rPr>
          <w:rFonts w:ascii="Arial" w:hAnsi="Arial" w:cs="Arial"/>
          <w:sz w:val="20"/>
          <w:szCs w:val="20"/>
        </w:rPr>
      </w:pPr>
      <w:r w:rsidRPr="00304F1F">
        <w:rPr>
          <w:rFonts w:ascii="Arial" w:hAnsi="Arial" w:cs="Arial"/>
          <w:sz w:val="20"/>
          <w:szCs w:val="20"/>
        </w:rPr>
        <w:t>As the proposed feature/objective is on a smaller scale, it does not require a new work item to introduce this feature.</w:t>
      </w:r>
      <w:r>
        <w:rPr>
          <w:rFonts w:ascii="Arial" w:hAnsi="Arial" w:cs="Arial"/>
          <w:sz w:val="20"/>
          <w:szCs w:val="20"/>
        </w:rPr>
        <w:t xml:space="preserve"> </w:t>
      </w:r>
      <w:r w:rsidRPr="00304F1F">
        <w:rPr>
          <w:rFonts w:ascii="Arial" w:hAnsi="Arial" w:cs="Arial"/>
          <w:sz w:val="20"/>
          <w:szCs w:val="20"/>
        </w:rPr>
        <w:t>We can take the same approach as in the past to include UL Tx switching feature in the UE RF enhancement work</w:t>
      </w:r>
      <w:r>
        <w:rPr>
          <w:rFonts w:ascii="Arial" w:hAnsi="Arial" w:cs="Arial"/>
          <w:sz w:val="20"/>
          <w:szCs w:val="20"/>
        </w:rPr>
        <w:t xml:space="preserve"> </w:t>
      </w:r>
      <w:r w:rsidRPr="00304F1F">
        <w:rPr>
          <w:rFonts w:ascii="Arial" w:hAnsi="Arial" w:cs="Arial"/>
          <w:sz w:val="20"/>
          <w:szCs w:val="20"/>
        </w:rPr>
        <w:t>item</w:t>
      </w:r>
      <w:r>
        <w:rPr>
          <w:rFonts w:ascii="Arial" w:hAnsi="Arial" w:cs="Arial"/>
          <w:sz w:val="20"/>
          <w:szCs w:val="20"/>
        </w:rPr>
        <w:t>, that is, u</w:t>
      </w:r>
      <w:r w:rsidRPr="00304F1F">
        <w:rPr>
          <w:rFonts w:ascii="Arial" w:hAnsi="Arial" w:cs="Arial"/>
          <w:sz w:val="20"/>
          <w:szCs w:val="20"/>
        </w:rPr>
        <w:t>p</w:t>
      </w:r>
      <w:r>
        <w:rPr>
          <w:rFonts w:ascii="Arial" w:hAnsi="Arial" w:cs="Arial"/>
          <w:sz w:val="20"/>
          <w:szCs w:val="20"/>
        </w:rPr>
        <w:t>-</w:t>
      </w:r>
      <w:r w:rsidRPr="00304F1F">
        <w:rPr>
          <w:rFonts w:ascii="Arial" w:hAnsi="Arial" w:cs="Arial"/>
          <w:sz w:val="20"/>
          <w:szCs w:val="20"/>
        </w:rPr>
        <w:t>scope the current Rel-19 UE RF enhancements for NR FR1/FR2 and EN-DC, Phase 4 (RP-241656) to include the UL Tx</w:t>
      </w:r>
      <w:r>
        <w:rPr>
          <w:rFonts w:ascii="Arial" w:hAnsi="Arial" w:cs="Arial"/>
          <w:sz w:val="20"/>
          <w:szCs w:val="20"/>
        </w:rPr>
        <w:t xml:space="preserve"> </w:t>
      </w:r>
      <w:r w:rsidRPr="00304F1F">
        <w:rPr>
          <w:rFonts w:ascii="Arial" w:hAnsi="Arial" w:cs="Arial"/>
          <w:sz w:val="20"/>
          <w:szCs w:val="20"/>
        </w:rPr>
        <w:t>switching feature for intra-band non-contiguous UL CA.</w:t>
      </w:r>
      <w:r>
        <w:rPr>
          <w:rFonts w:ascii="Arial" w:hAnsi="Arial" w:cs="Arial"/>
          <w:sz w:val="20"/>
          <w:szCs w:val="20"/>
        </w:rPr>
        <w:t xml:space="preserve"> </w:t>
      </w:r>
      <w:r w:rsidRPr="00304F1F">
        <w:rPr>
          <w:rFonts w:ascii="Arial" w:hAnsi="Arial" w:cs="Arial"/>
          <w:sz w:val="20"/>
          <w:szCs w:val="20"/>
        </w:rPr>
        <w:t>The feature can be added under the objective “Power class 1.5 (PC1.5) UE for NR TDD intra-band UL contiguous and non-contiguous CA with 2Tx” as below,</w:t>
      </w:r>
    </w:p>
    <w:p w14:paraId="0EB126FB" w14:textId="77777777" w:rsidR="00811DA5" w:rsidRDefault="00811DA5" w:rsidP="00811DA5">
      <w:pPr>
        <w:jc w:val="both"/>
        <w:rPr>
          <w:rFonts w:ascii="Arial" w:hAnsi="Arial" w:cs="Arial"/>
          <w:sz w:val="20"/>
          <w:szCs w:val="20"/>
        </w:rPr>
      </w:pPr>
    </w:p>
    <w:p w14:paraId="6B7D22A7" w14:textId="34EF42C7" w:rsidR="00144D61" w:rsidRDefault="00304F1F" w:rsidP="00811DA5">
      <w:pPr>
        <w:pStyle w:val="ListParagraph"/>
        <w:numPr>
          <w:ilvl w:val="0"/>
          <w:numId w:val="27"/>
        </w:numPr>
        <w:spacing w:after="120"/>
        <w:ind w:left="763"/>
        <w:contextualSpacing w:val="0"/>
        <w:jc w:val="both"/>
        <w:rPr>
          <w:rFonts w:ascii="Arial" w:hAnsi="Arial" w:cs="Arial"/>
          <w:sz w:val="20"/>
          <w:szCs w:val="20"/>
        </w:rPr>
      </w:pPr>
      <w:r w:rsidRPr="00304F1F">
        <w:rPr>
          <w:rFonts w:ascii="Arial" w:hAnsi="Arial" w:cs="Arial"/>
          <w:sz w:val="20"/>
          <w:szCs w:val="20"/>
        </w:rPr>
        <w:t>Specify the requirements for intra-band UL contiguous CA with or without UL-MIMO. (current objective)</w:t>
      </w:r>
    </w:p>
    <w:p w14:paraId="12768335" w14:textId="3FA15121" w:rsidR="00304F1F" w:rsidRDefault="00304F1F" w:rsidP="00811DA5">
      <w:pPr>
        <w:pStyle w:val="ListParagraph"/>
        <w:numPr>
          <w:ilvl w:val="0"/>
          <w:numId w:val="27"/>
        </w:numPr>
        <w:spacing w:after="120"/>
        <w:ind w:left="763"/>
        <w:contextualSpacing w:val="0"/>
        <w:jc w:val="both"/>
        <w:rPr>
          <w:rFonts w:ascii="Arial" w:hAnsi="Arial" w:cs="Arial"/>
          <w:sz w:val="20"/>
          <w:szCs w:val="20"/>
        </w:rPr>
      </w:pPr>
      <w:r w:rsidRPr="00304F1F">
        <w:rPr>
          <w:rFonts w:ascii="Arial" w:hAnsi="Arial" w:cs="Arial"/>
          <w:sz w:val="20"/>
          <w:szCs w:val="20"/>
        </w:rPr>
        <w:t>Specify the requirements for intra-band UL non-contiguous CA without UL-MIMO. (current objective)</w:t>
      </w:r>
    </w:p>
    <w:p w14:paraId="3520E6C7" w14:textId="7B7CC753" w:rsidR="00304F1F" w:rsidRPr="00304F1F" w:rsidRDefault="00304F1F" w:rsidP="00304F1F">
      <w:pPr>
        <w:pStyle w:val="ListParagraph"/>
        <w:numPr>
          <w:ilvl w:val="0"/>
          <w:numId w:val="27"/>
        </w:numPr>
        <w:spacing w:after="240"/>
        <w:ind w:left="763"/>
        <w:contextualSpacing w:val="0"/>
        <w:jc w:val="both"/>
        <w:rPr>
          <w:rFonts w:ascii="Arial" w:hAnsi="Arial" w:cs="Arial"/>
          <w:sz w:val="20"/>
          <w:szCs w:val="20"/>
          <w:highlight w:val="yellow"/>
        </w:rPr>
      </w:pPr>
      <w:r w:rsidRPr="00304F1F">
        <w:rPr>
          <w:rFonts w:ascii="Arial" w:hAnsi="Arial" w:cs="Arial"/>
          <w:sz w:val="20"/>
          <w:szCs w:val="20"/>
          <w:highlight w:val="yellow"/>
        </w:rPr>
        <w:t>Introduce UL Tx switching feature for FR1 intra-band non-contiguous UL CA, focusing on the collocated scenario and 2Tx to 2Tx</w:t>
      </w:r>
      <w:r w:rsidRPr="00304F1F">
        <w:rPr>
          <w:rFonts w:ascii="Arial" w:hAnsi="Arial" w:cs="Arial"/>
          <w:sz w:val="20"/>
          <w:szCs w:val="20"/>
          <w:highlight w:val="yellow"/>
        </w:rPr>
        <w:t xml:space="preserve"> </w:t>
      </w:r>
      <w:r w:rsidRPr="00304F1F">
        <w:rPr>
          <w:rFonts w:ascii="Arial" w:hAnsi="Arial" w:cs="Arial"/>
          <w:sz w:val="20"/>
          <w:szCs w:val="20"/>
          <w:highlight w:val="yellow"/>
        </w:rPr>
        <w:t>switching first. (new objective)</w:t>
      </w:r>
    </w:p>
    <w:p w14:paraId="4A4E5813" w14:textId="2E428689" w:rsidR="00811DA5" w:rsidRPr="00304F1F" w:rsidRDefault="003227D2" w:rsidP="002D027B">
      <w:pPr>
        <w:pStyle w:val="ListParagraph"/>
        <w:numPr>
          <w:ilvl w:val="1"/>
          <w:numId w:val="30"/>
        </w:numPr>
        <w:spacing w:after="120"/>
        <w:ind w:left="1008" w:hanging="288"/>
        <w:contextualSpacing w:val="0"/>
        <w:jc w:val="both"/>
        <w:rPr>
          <w:rFonts w:ascii="Arial" w:hAnsi="Arial" w:cs="Arial"/>
          <w:sz w:val="20"/>
          <w:szCs w:val="20"/>
          <w:highlight w:val="yellow"/>
        </w:rPr>
      </w:pPr>
      <w:r w:rsidRPr="00304F1F">
        <w:rPr>
          <w:rFonts w:ascii="Arial" w:hAnsi="Arial" w:cs="Arial"/>
          <w:sz w:val="20"/>
          <w:szCs w:val="20"/>
          <w:highlight w:val="yellow"/>
        </w:rPr>
        <w:t>Specify the requirement of switching period</w:t>
      </w:r>
      <w:r w:rsidR="00811DA5" w:rsidRPr="00304F1F">
        <w:rPr>
          <w:rFonts w:ascii="Arial" w:hAnsi="Arial" w:cs="Arial"/>
          <w:sz w:val="20"/>
          <w:szCs w:val="20"/>
          <w:highlight w:val="yellow"/>
        </w:rPr>
        <w:t>.</w:t>
      </w:r>
    </w:p>
    <w:p w14:paraId="33C03C21" w14:textId="393CD502" w:rsidR="00FD432B" w:rsidRPr="003227D2" w:rsidRDefault="003227D2" w:rsidP="002D027B">
      <w:pPr>
        <w:pStyle w:val="ListParagraph"/>
        <w:numPr>
          <w:ilvl w:val="1"/>
          <w:numId w:val="30"/>
        </w:numPr>
        <w:spacing w:after="120"/>
        <w:ind w:left="1008" w:hanging="288"/>
        <w:jc w:val="both"/>
        <w:rPr>
          <w:rFonts w:ascii="Arial" w:hAnsi="Arial" w:cs="Arial"/>
          <w:sz w:val="20"/>
          <w:szCs w:val="20"/>
        </w:rPr>
      </w:pPr>
      <w:r w:rsidRPr="00304F1F">
        <w:rPr>
          <w:rFonts w:ascii="Arial" w:hAnsi="Arial" w:cs="Arial"/>
          <w:sz w:val="20"/>
          <w:szCs w:val="20"/>
          <w:highlight w:val="yellow"/>
        </w:rPr>
        <w:t>Introduce new feature/capability signaling if necessary</w:t>
      </w:r>
      <w:r w:rsidR="00FD432B" w:rsidRPr="00304F1F">
        <w:rPr>
          <w:rFonts w:ascii="Arial" w:hAnsi="Arial" w:cs="Arial"/>
          <w:sz w:val="20"/>
          <w:szCs w:val="20"/>
          <w:highlight w:val="yellow"/>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57669D9" w:rsidR="006D7B72" w:rsidRPr="00BA50B0" w:rsidRDefault="003227D2" w:rsidP="00C358C6">
      <w:pPr>
        <w:spacing w:after="120"/>
        <w:jc w:val="both"/>
        <w:rPr>
          <w:rFonts w:ascii="Arial" w:hAnsi="Arial" w:cs="Arial"/>
          <w:bCs/>
          <w:sz w:val="20"/>
          <w:szCs w:val="20"/>
        </w:rPr>
      </w:pPr>
      <w:r>
        <w:rPr>
          <w:rFonts w:ascii="Arial" w:hAnsi="Arial" w:cs="Arial"/>
          <w:sz w:val="20"/>
          <w:szCs w:val="20"/>
        </w:rPr>
        <w:t>I</w:t>
      </w:r>
      <w:r w:rsidRPr="003227D2">
        <w:rPr>
          <w:rFonts w:ascii="Arial" w:hAnsi="Arial" w:cs="Arial"/>
          <w:sz w:val="20"/>
          <w:szCs w:val="20"/>
        </w:rPr>
        <w:t xml:space="preserve">n this contribution, we provide the motivation on introducing the UL Tx switching feature for FR1 intra-band non-contiguous UL CA as part of the Rel-19 RAN4 </w:t>
      </w:r>
      <w:r>
        <w:rPr>
          <w:rFonts w:ascii="Arial" w:hAnsi="Arial" w:cs="Arial"/>
          <w:sz w:val="20"/>
          <w:szCs w:val="20"/>
        </w:rPr>
        <w:t xml:space="preserve">objectives for consideration. </w:t>
      </w:r>
    </w:p>
    <w:p w14:paraId="793D3C32" w14:textId="77777777" w:rsidR="001A646C" w:rsidRPr="00A9741F" w:rsidRDefault="001A646C" w:rsidP="001A646C">
      <w:pPr>
        <w:jc w:val="both"/>
        <w:rPr>
          <w:rFonts w:ascii="Arial" w:hAnsi="Arial" w:cs="Arial"/>
          <w:sz w:val="20"/>
          <w:szCs w:val="20"/>
        </w:rPr>
      </w:pPr>
    </w:p>
    <w:p w14:paraId="2461E3C3" w14:textId="66A0CE1D" w:rsidR="001A646C" w:rsidRDefault="003227D2"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3CC9C78F" w:rsidR="00B27D0B" w:rsidRDefault="003227D2"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33F6554A" w:rsidR="00B27D0B" w:rsidRDefault="003227D2"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Pr="00B27D0B" w:rsidRDefault="00B27D0B" w:rsidP="00B27D0B">
      <w:pPr>
        <w:jc w:val="both"/>
        <w:rPr>
          <w:rFonts w:ascii="Arial" w:hAnsi="Arial" w:cs="Arial"/>
          <w:sz w:val="20"/>
          <w:szCs w:val="20"/>
        </w:rPr>
      </w:pPr>
    </w:p>
    <w:p w14:paraId="4B8D364B" w14:textId="3034B372" w:rsidR="00BB2E33" w:rsidRDefault="00BB2E33" w:rsidP="00BB2E33">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63AA16A5" w14:textId="77777777" w:rsidR="00BB2E33" w:rsidRDefault="00BB2E33" w:rsidP="003227D2">
      <w:pPr>
        <w:jc w:val="both"/>
        <w:rPr>
          <w:rFonts w:ascii="Arial" w:hAnsi="Arial" w:cs="Arial"/>
          <w:sz w:val="20"/>
          <w:szCs w:val="20"/>
        </w:rPr>
      </w:pPr>
    </w:p>
    <w:p w14:paraId="277A10FF" w14:textId="72769DB6" w:rsidR="003227D2" w:rsidRDefault="003227D2" w:rsidP="003227D2">
      <w:pPr>
        <w:jc w:val="both"/>
        <w:rPr>
          <w:rFonts w:ascii="Arial" w:hAnsi="Arial" w:cs="Arial"/>
          <w:sz w:val="20"/>
          <w:szCs w:val="20"/>
        </w:rPr>
      </w:pPr>
      <w:r>
        <w:rPr>
          <w:rFonts w:ascii="Arial" w:hAnsi="Arial" w:cs="Arial"/>
          <w:sz w:val="20"/>
          <w:szCs w:val="20"/>
        </w:rPr>
        <w:t xml:space="preserve">The following Rel-19 RAN4 objectives for </w:t>
      </w:r>
      <w:r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10EAD52A" w14:textId="77777777" w:rsidR="003227D2" w:rsidRDefault="003227D2" w:rsidP="003227D2">
      <w:pPr>
        <w:jc w:val="both"/>
        <w:rPr>
          <w:rFonts w:ascii="Arial" w:hAnsi="Arial" w:cs="Arial"/>
          <w:sz w:val="20"/>
          <w:szCs w:val="20"/>
        </w:rPr>
      </w:pPr>
    </w:p>
    <w:p w14:paraId="1C006D86"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Introduce UL Tx switching feature for FR1 intra-band non-contiguous UL CA.</w:t>
      </w:r>
    </w:p>
    <w:p w14:paraId="5776692C" w14:textId="77777777" w:rsidR="003227D2" w:rsidRPr="000D6E9B" w:rsidRDefault="003227D2" w:rsidP="002D027B">
      <w:pPr>
        <w:pStyle w:val="ListParagraph"/>
        <w:numPr>
          <w:ilvl w:val="1"/>
          <w:numId w:val="29"/>
        </w:numPr>
        <w:spacing w:after="120"/>
        <w:contextualSpacing w:val="0"/>
        <w:jc w:val="both"/>
        <w:rPr>
          <w:rFonts w:ascii="Arial" w:hAnsi="Arial" w:cs="Arial"/>
          <w:i/>
          <w:iCs/>
          <w:sz w:val="20"/>
          <w:szCs w:val="20"/>
        </w:rPr>
      </w:pPr>
      <w:r w:rsidRPr="000D6E9B">
        <w:rPr>
          <w:rFonts w:ascii="Arial" w:hAnsi="Arial" w:cs="Arial"/>
          <w:i/>
          <w:iCs/>
          <w:sz w:val="20"/>
          <w:szCs w:val="20"/>
        </w:rPr>
        <w:t>Specify the requirement of switching period.</w:t>
      </w:r>
    </w:p>
    <w:p w14:paraId="75C637CC" w14:textId="74AD9F5D" w:rsidR="002077B7" w:rsidRPr="00DB0BC8" w:rsidRDefault="003227D2" w:rsidP="002D027B">
      <w:pPr>
        <w:pStyle w:val="ListParagraph"/>
        <w:numPr>
          <w:ilvl w:val="1"/>
          <w:numId w:val="29"/>
        </w:numPr>
        <w:spacing w:after="120"/>
        <w:contextualSpacing w:val="0"/>
        <w:jc w:val="both"/>
        <w:rPr>
          <w:rFonts w:ascii="Arial" w:hAnsi="Arial" w:cs="Arial"/>
          <w:sz w:val="20"/>
          <w:szCs w:val="20"/>
        </w:rPr>
      </w:pPr>
      <w:r w:rsidRPr="000D6E9B">
        <w:rPr>
          <w:rFonts w:ascii="Arial" w:hAnsi="Arial" w:cs="Arial"/>
          <w:i/>
          <w:iCs/>
          <w:sz w:val="20"/>
          <w:szCs w:val="20"/>
        </w:rPr>
        <w:t>Introduce new feature/capability signaling if necessary.</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B04BE8"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sectPr w:rsidR="0021021D" w:rsidRPr="00B04BE8" w:rsidSect="00517886">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8DC41" w14:textId="77777777" w:rsidR="00A86760" w:rsidRDefault="00A86760">
      <w:r>
        <w:separator/>
      </w:r>
    </w:p>
  </w:endnote>
  <w:endnote w:type="continuationSeparator" w:id="0">
    <w:p w14:paraId="0717423A" w14:textId="77777777" w:rsidR="00A86760" w:rsidRDefault="00A8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22296" w14:textId="77777777" w:rsidR="00A86760" w:rsidRDefault="00A86760">
      <w:r>
        <w:separator/>
      </w:r>
    </w:p>
  </w:footnote>
  <w:footnote w:type="continuationSeparator" w:id="0">
    <w:p w14:paraId="7CCCB6FC" w14:textId="77777777" w:rsidR="00A86760" w:rsidRDefault="00A8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0DF"/>
    <w:rsid w:val="0001328E"/>
    <w:rsid w:val="00014468"/>
    <w:rsid w:val="0001503B"/>
    <w:rsid w:val="00016134"/>
    <w:rsid w:val="0001757D"/>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6392"/>
    <w:rsid w:val="00106A77"/>
    <w:rsid w:val="001104F4"/>
    <w:rsid w:val="00110A8D"/>
    <w:rsid w:val="00111EDD"/>
    <w:rsid w:val="00113A07"/>
    <w:rsid w:val="001140B8"/>
    <w:rsid w:val="00114E2C"/>
    <w:rsid w:val="00120C7E"/>
    <w:rsid w:val="00121103"/>
    <w:rsid w:val="0013212C"/>
    <w:rsid w:val="00133525"/>
    <w:rsid w:val="00137EE2"/>
    <w:rsid w:val="00141326"/>
    <w:rsid w:val="00142C17"/>
    <w:rsid w:val="001441A8"/>
    <w:rsid w:val="00144D61"/>
    <w:rsid w:val="00146BE3"/>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5E91"/>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027B"/>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4F1F"/>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1AE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438D"/>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05E"/>
    <w:rsid w:val="007534AC"/>
    <w:rsid w:val="00753881"/>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5B52"/>
    <w:rsid w:val="00907543"/>
    <w:rsid w:val="0091018D"/>
    <w:rsid w:val="009114D7"/>
    <w:rsid w:val="00911898"/>
    <w:rsid w:val="0091348E"/>
    <w:rsid w:val="0091435F"/>
    <w:rsid w:val="00914B4B"/>
    <w:rsid w:val="00916637"/>
    <w:rsid w:val="00917334"/>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5505"/>
    <w:rsid w:val="00B36A7D"/>
    <w:rsid w:val="00B37C70"/>
    <w:rsid w:val="00B4292E"/>
    <w:rsid w:val="00B44F81"/>
    <w:rsid w:val="00B45F97"/>
    <w:rsid w:val="00B50264"/>
    <w:rsid w:val="00B5178A"/>
    <w:rsid w:val="00B51CDC"/>
    <w:rsid w:val="00B5302C"/>
    <w:rsid w:val="00B55583"/>
    <w:rsid w:val="00B646A5"/>
    <w:rsid w:val="00B65370"/>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397"/>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416C"/>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309B"/>
    <w:rsid w:val="00DC353B"/>
    <w:rsid w:val="00DC4DA2"/>
    <w:rsid w:val="00DD07AA"/>
    <w:rsid w:val="00DD34DD"/>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61E7"/>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254"/>
    <w:rsid w:val="00FB586F"/>
    <w:rsid w:val="00FB59CE"/>
    <w:rsid w:val="00FB645D"/>
    <w:rsid w:val="00FB6A3D"/>
    <w:rsid w:val="00FB7308"/>
    <w:rsid w:val="00FC1192"/>
    <w:rsid w:val="00FC43F3"/>
    <w:rsid w:val="00FC60A7"/>
    <w:rsid w:val="00FC7411"/>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2024-11-08T06:35:00Z</dcterms:created>
  <dcterms:modified xsi:type="dcterms:W3CDTF">2024-11-08T16:58:00Z</dcterms:modified>
  <cp:category/>
</cp:coreProperties>
</file>